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451940">
        <w:rPr>
          <w:rFonts w:ascii="Times New Roman" w:hAnsi="Times New Roman"/>
          <w:b/>
          <w:color w:val="000000"/>
          <w:sz w:val="24"/>
          <w:szCs w:val="24"/>
          <w:lang w:val="uk-UA"/>
        </w:rPr>
        <w:t>19.08.2021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1940">
        <w:rPr>
          <w:rFonts w:ascii="Times New Roman" w:hAnsi="Times New Roman"/>
          <w:b/>
          <w:color w:val="000000"/>
          <w:sz w:val="24"/>
          <w:szCs w:val="24"/>
          <w:lang w:val="uk-UA"/>
        </w:rPr>
        <w:t>140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A95431">
        <w:rPr>
          <w:rFonts w:ascii="Times New Roman" w:hAnsi="Times New Roman" w:cs="Times New Roman"/>
          <w:b/>
          <w:sz w:val="24"/>
          <w:szCs w:val="24"/>
        </w:rPr>
        <w:t>, на період відпустки основного працівника для догляду за дитиною до досягнення нею трирічного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C26BC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вересня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C26BCB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вересня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61C7E"/>
    <w:rsid w:val="003A7FE2"/>
    <w:rsid w:val="00451940"/>
    <w:rsid w:val="00477646"/>
    <w:rsid w:val="00532E38"/>
    <w:rsid w:val="006622BD"/>
    <w:rsid w:val="006B6CDA"/>
    <w:rsid w:val="00723744"/>
    <w:rsid w:val="007E4F4F"/>
    <w:rsid w:val="008213E1"/>
    <w:rsid w:val="008320D9"/>
    <w:rsid w:val="008A2974"/>
    <w:rsid w:val="00942045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50E70"/>
    <w:rsid w:val="00DA7303"/>
    <w:rsid w:val="00DC21C6"/>
    <w:rsid w:val="00E3155E"/>
    <w:rsid w:val="00E91F75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6222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15</cp:revision>
  <cp:lastPrinted>2021-08-19T09:56:00Z</cp:lastPrinted>
  <dcterms:created xsi:type="dcterms:W3CDTF">2021-03-26T10:56:00Z</dcterms:created>
  <dcterms:modified xsi:type="dcterms:W3CDTF">2021-08-19T11:00:00Z</dcterms:modified>
</cp:coreProperties>
</file>