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9C056D">
        <w:rPr>
          <w:rFonts w:ascii="Times New Roman" w:hAnsi="Times New Roman"/>
          <w:b/>
          <w:color w:val="000000"/>
          <w:sz w:val="24"/>
          <w:szCs w:val="24"/>
          <w:lang w:val="uk-UA"/>
        </w:rPr>
        <w:t>18.11</w:t>
      </w:r>
      <w:r w:rsidR="00F525D6"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007CA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9C056D">
        <w:rPr>
          <w:rFonts w:ascii="Times New Roman" w:hAnsi="Times New Roman"/>
          <w:b/>
          <w:color w:val="000000"/>
          <w:sz w:val="24"/>
          <w:szCs w:val="24"/>
          <w:lang w:val="uk-UA"/>
        </w:rPr>
        <w:t>192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-осн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зайняття </w:t>
      </w:r>
      <w:r w:rsidR="00DF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вакантної 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</w:p>
    <w:p w:rsidR="00C07876" w:rsidRPr="00C07876" w:rsidRDefault="007121DF" w:rsidP="007121D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(безстроково)</w:t>
      </w:r>
      <w:r w:rsidR="00C07876" w:rsidRPr="00C0787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59"/>
        <w:gridCol w:w="2078"/>
        <w:gridCol w:w="182"/>
        <w:gridCol w:w="7235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 облік та  звернення до виконання рішень суду  по всіх категоріях судових справ і матеріалів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. Забезпечує зберігання судових справ та матеріалів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46BE4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 перевірку та оформлення судових справ зі скаргами та направлення їх до судів вищих інстанцій та контролює їх повернення</w:t>
            </w:r>
            <w:r w:rsidR="00846BE4"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Проводить роботу з оформлення судових рішень для звернення їх до виконання, контролює одержання повідомлень про виконання та здійснює відповідну відмітку в ОСК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риймає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судових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 за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минулі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роки,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закінчено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іншу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документацію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діяльності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 за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минулі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роки</w:t>
            </w:r>
            <w:r w:rsidRPr="00846B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Здійснює прийом громадян, видачу копій судових рішень, інших документів, які зберігаються в канцелярії суду,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використовуючи автоматизовану систему документообігу суду та здійснює видачу судових справ для ознайомлення у встановленому порядку Інструкцією з діловодства в місцевих та апеляційних судах України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Готує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зведені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описи справ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постійного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тривалого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тимчасового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знищення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справ, 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бере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участь 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роботі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експертизи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цінності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архівних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46BE4" w:rsidRPr="00846BE4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роводить аналітичну роботу щодо строків здачі справ до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архіву суду, підготовку відповідних пропозицій з удосконалення цієї роботи </w:t>
            </w:r>
            <w:r w:rsidR="00846BE4" w:rsidRPr="00846BE4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та вносить відповідні дані до облікових карток засобами автоматизованої системи документообігу суду,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всієї інформації, що була відома після розгляду справ та передачі їх до архіву суду</w:t>
            </w:r>
            <w:r w:rsidR="00846BE4" w:rsidRPr="00846BE4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 згідно наданих прав доступу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Бере участь  у розробленні номенклатури справ, перевіряє правильність формування та оформлення справ під час їх передавання до архіву, веде номенклатурні справи суду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Контролює додержання правил протипожежної безпеки в архівних приміщеннях суду.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Виконує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апарату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заступника керівника апарату суду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старшого секретаря суду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07876" w:rsidRPr="00C07876" w:rsidTr="007F7427">
        <w:trPr>
          <w:trHeight w:val="1537"/>
        </w:trPr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52D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C52D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4758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грн. та інші надбавки і доплати, передбачені статтями 50, 52 Закону України «Про державну службу» від 10.12.2015 року №889-</w:t>
            </w:r>
            <w:r w:rsidRPr="00C0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та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  <w:tr w:rsidR="007121DF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Інформація про строковість чи 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безстроковість призначення на посаду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Default="007121DF" w:rsidP="007121D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Безстрокова</w:t>
            </w:r>
          </w:p>
          <w:p w:rsidR="007121DF" w:rsidRPr="00C07876" w:rsidRDefault="007121DF" w:rsidP="007121D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121DF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таку інформацію:</w:t>
            </w:r>
            <w:bookmarkStart w:id="1" w:name="n1170"/>
            <w:bookmarkEnd w:id="1"/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7121DF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7121DF" w:rsidRPr="00C26BCB" w:rsidRDefault="007121DF" w:rsidP="007121DF">
            <w:pPr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7121DF" w:rsidRPr="00C26BCB" w:rsidRDefault="007121DF" w:rsidP="007121DF">
            <w:pPr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.00 год.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 листопада</w:t>
            </w:r>
            <w:r w:rsidRPr="00C26B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2021 року.</w:t>
            </w:r>
          </w:p>
        </w:tc>
      </w:tr>
      <w:tr w:rsidR="00C52D1C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C52D1C" w:rsidP="00C52D1C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52D1C" w:rsidRPr="00C07876" w:rsidRDefault="00C52D1C" w:rsidP="00C52D1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C52D1C" w:rsidP="00C52D1C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2D1C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C52D1C" w:rsidP="00C52D1C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</w:p>
          <w:p w:rsidR="00C52D1C" w:rsidRPr="00C07876" w:rsidRDefault="00C52D1C" w:rsidP="00C52D1C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C52D1C" w:rsidRPr="00C07876" w:rsidRDefault="00C52D1C" w:rsidP="00C52D1C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C52D1C" w:rsidRPr="00C07876" w:rsidRDefault="00C52D1C" w:rsidP="00C52D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</w:t>
            </w: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(із зазначенням електронної платформи для комунікації дистанційно)</w:t>
            </w:r>
          </w:p>
        </w:tc>
        <w:tc>
          <w:tcPr>
            <w:tcW w:w="7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C52D1C" w:rsidP="00C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29 листопада</w:t>
            </w:r>
            <w:r w:rsidRPr="00BD1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2021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2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годину</w:t>
            </w:r>
            <w:r w:rsidRPr="00F52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Pr="00C078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Pr="00BD1533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В. Винниченка,29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2D1C" w:rsidRPr="00C07876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2D1C" w:rsidRPr="00C07876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2D1C" w:rsidRPr="00BD1533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7F7427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7F7427" w:rsidRPr="00C07876" w:rsidTr="007F7427">
        <w:trPr>
          <w:gridAfter w:val="2"/>
          <w:wAfter w:w="73" w:type="dxa"/>
          <w:trHeight w:val="826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A66BAF" w:rsidRDefault="007F7427" w:rsidP="007F7427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7F7427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71773E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F7427" w:rsidRPr="0071773E" w:rsidRDefault="007F7427" w:rsidP="007F74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71773E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7F7427" w:rsidRPr="00C07876" w:rsidTr="00460431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  <w:b/>
              </w:rPr>
              <w:t>Комунікація та взаємодія</w:t>
            </w:r>
          </w:p>
        </w:tc>
        <w:tc>
          <w:tcPr>
            <w:tcW w:w="7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</w:rPr>
              <w:t>вміння визначати заінтересовані і впливові сторони та будувати партнерські відносини;</w:t>
            </w:r>
          </w:p>
          <w:p w:rsidR="007F7427" w:rsidRPr="0071773E" w:rsidRDefault="007F7427" w:rsidP="007F74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71773E">
              <w:rPr>
                <w:rStyle w:val="212pt"/>
                <w:rFonts w:eastAsia="Calibri"/>
              </w:rPr>
              <w:t>здатність ефективно взаємодіяти: дослухатися, сприймати та викладати думку.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71773E" w:rsidRDefault="007F7427" w:rsidP="007F7427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77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lastRenderedPageBreak/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71773E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77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уміння розуміти та управляти своїми емоціями;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здатність до самоконтролю;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оптимізм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  <w:b/>
              </w:rPr>
              <w:t>Самоорганізація та самостійність в роботі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</w:rPr>
              <w:t xml:space="preserve">  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7121DF" w:rsidRPr="0071773E" w:rsidRDefault="007121DF" w:rsidP="007121D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</w:rPr>
              <w:t xml:space="preserve">    здатність до </w:t>
            </w:r>
            <w:proofErr w:type="spellStart"/>
            <w:r w:rsidRPr="0071773E">
              <w:rPr>
                <w:rStyle w:val="212pt"/>
                <w:rFonts w:eastAsia="Calibri"/>
              </w:rPr>
              <w:t>самомотивації</w:t>
            </w:r>
            <w:proofErr w:type="spellEnd"/>
            <w:r w:rsidRPr="0071773E">
              <w:rPr>
                <w:rStyle w:val="212pt"/>
                <w:rFonts w:eastAsia="Calibri"/>
              </w:rPr>
              <w:t xml:space="preserve"> (самоуправління);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71773E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121DF" w:rsidRPr="00C07876" w:rsidTr="007F7427">
        <w:trPr>
          <w:gridAfter w:val="1"/>
          <w:wAfter w:w="61" w:type="dxa"/>
          <w:trHeight w:val="683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F" w:rsidRPr="00C07876" w:rsidRDefault="007121DF" w:rsidP="00712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F" w:rsidRPr="00C07876" w:rsidRDefault="007121DF" w:rsidP="00712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F" w:rsidRPr="00C07876" w:rsidRDefault="007121DF" w:rsidP="00712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C07876">
              <w:t>Конституція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C07876">
              <w:t>Закон України «Про державну службу»;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spacing w:after="240"/>
              <w:ind w:left="164" w:hanging="142"/>
              <w:jc w:val="both"/>
              <w:rPr>
                <w:color w:val="000000"/>
              </w:rPr>
            </w:pPr>
            <w:r w:rsidRPr="00C07876">
              <w:t>Закон України «Про запобігання корупції»</w:t>
            </w:r>
          </w:p>
          <w:p w:rsidR="007121DF" w:rsidRPr="00C07876" w:rsidRDefault="007121DF" w:rsidP="007121DF">
            <w:pPr>
              <w:pStyle w:val="a7"/>
              <w:spacing w:after="240"/>
              <w:ind w:left="164"/>
              <w:jc w:val="both"/>
              <w:rPr>
                <w:color w:val="000000"/>
              </w:rPr>
            </w:pPr>
            <w:r w:rsidRPr="00C07876">
              <w:t>та іншого законодавства</w:t>
            </w:r>
          </w:p>
        </w:tc>
      </w:tr>
      <w:tr w:rsidR="007121DF" w:rsidRPr="00C07876" w:rsidTr="007F7427">
        <w:trPr>
          <w:gridAfter w:val="2"/>
          <w:wAfter w:w="73" w:type="dxa"/>
          <w:trHeight w:val="3407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Закон України «Про судоустрій і статус суддів»;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Цивільний процесуальний кодекс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 xml:space="preserve">Кримінальний процесуальний кодекс України; 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Кодекс адміністративного судочинства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Інструкція з діловодства в місцевих та апеляційних судах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  <w:rPr>
                <w:color w:val="000000" w:themeColor="text1"/>
              </w:rPr>
            </w:pPr>
            <w:r w:rsidRPr="00C07876">
              <w:t xml:space="preserve">Інструкція про порядок роботи з технічними засобами фіксування </w:t>
            </w:r>
            <w:r w:rsidRPr="00C07876">
              <w:rPr>
                <w:color w:val="000000" w:themeColor="text1"/>
              </w:rPr>
              <w:t>судового процесу;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  <w:rPr>
                <w:color w:val="000000"/>
              </w:rPr>
            </w:pPr>
            <w:r w:rsidRPr="00C07876">
              <w:rPr>
                <w:bCs/>
                <w:color w:val="000000" w:themeColor="text1"/>
                <w:shd w:val="clear" w:color="auto" w:fill="FFFFFF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07876">
              <w:rPr>
                <w:bCs/>
                <w:color w:val="000000" w:themeColor="text1"/>
                <w:shd w:val="clear" w:color="auto" w:fill="FFFFFF"/>
              </w:rPr>
              <w:t>відеоконференції</w:t>
            </w:r>
            <w:proofErr w:type="spellEnd"/>
            <w:r w:rsidRPr="00C07876">
              <w:rPr>
                <w:bCs/>
                <w:color w:val="000000" w:themeColor="text1"/>
                <w:shd w:val="clear" w:color="auto" w:fill="FFFFFF"/>
              </w:rPr>
              <w:t>, під час судового засідання (кримінального провадження).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7121DF">
      <w:pgSz w:w="11906" w:h="16838"/>
      <w:pgMar w:top="1135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6B61"/>
    <w:multiLevelType w:val="hybridMultilevel"/>
    <w:tmpl w:val="A26A6576"/>
    <w:lvl w:ilvl="0" w:tplc="31200568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007CAC"/>
    <w:rsid w:val="0002185B"/>
    <w:rsid w:val="00041B3D"/>
    <w:rsid w:val="00150C5B"/>
    <w:rsid w:val="00177590"/>
    <w:rsid w:val="001B4956"/>
    <w:rsid w:val="001E59BA"/>
    <w:rsid w:val="002C5017"/>
    <w:rsid w:val="00354281"/>
    <w:rsid w:val="00361C7E"/>
    <w:rsid w:val="0042156B"/>
    <w:rsid w:val="00477646"/>
    <w:rsid w:val="006622BD"/>
    <w:rsid w:val="006B6CDA"/>
    <w:rsid w:val="007121DF"/>
    <w:rsid w:val="00723744"/>
    <w:rsid w:val="007E4F4F"/>
    <w:rsid w:val="007F7427"/>
    <w:rsid w:val="008320D9"/>
    <w:rsid w:val="00846BE4"/>
    <w:rsid w:val="00865998"/>
    <w:rsid w:val="00942045"/>
    <w:rsid w:val="009C056D"/>
    <w:rsid w:val="009F4EEF"/>
    <w:rsid w:val="00A160D1"/>
    <w:rsid w:val="00A43727"/>
    <w:rsid w:val="00AF2275"/>
    <w:rsid w:val="00B92A52"/>
    <w:rsid w:val="00BD2115"/>
    <w:rsid w:val="00BF1930"/>
    <w:rsid w:val="00C07876"/>
    <w:rsid w:val="00C52D1C"/>
    <w:rsid w:val="00D50E70"/>
    <w:rsid w:val="00DC21C6"/>
    <w:rsid w:val="00DF7B0F"/>
    <w:rsid w:val="00E3155E"/>
    <w:rsid w:val="00EB510A"/>
    <w:rsid w:val="00F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character" w:customStyle="1" w:styleId="rvts0">
    <w:name w:val="rvts0"/>
    <w:rsid w:val="007F7427"/>
  </w:style>
  <w:style w:type="character" w:customStyle="1" w:styleId="212pt">
    <w:name w:val="Основной текст (2) + 12 pt"/>
    <w:rsid w:val="007F7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7F742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427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5807</Words>
  <Characters>3310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Butina</cp:lastModifiedBy>
  <cp:revision>12</cp:revision>
  <cp:lastPrinted>2021-11-18T12:09:00Z</cp:lastPrinted>
  <dcterms:created xsi:type="dcterms:W3CDTF">2021-03-26T10:56:00Z</dcterms:created>
  <dcterms:modified xsi:type="dcterms:W3CDTF">2021-11-18T13:58:00Z</dcterms:modified>
</cp:coreProperties>
</file>