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76" w:rsidRPr="00C07876" w:rsidRDefault="00C07876" w:rsidP="00C07876">
      <w:pPr>
        <w:pStyle w:val="a8"/>
        <w:ind w:left="5667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0" w:name="_GoBack"/>
      <w:bookmarkEnd w:id="0"/>
      <w:r w:rsidRPr="00C07876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C07876" w:rsidRPr="00C07876" w:rsidRDefault="00C07876" w:rsidP="00C07876">
      <w:pPr>
        <w:pStyle w:val="a8"/>
        <w:ind w:left="6372" w:firstLine="3"/>
        <w:rPr>
          <w:rFonts w:ascii="Times New Roman" w:hAnsi="Times New Roman"/>
          <w:b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наказом керівника апарату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Вінницького районного суду </w:t>
      </w: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Вінницької області від </w:t>
      </w:r>
      <w:r w:rsidR="00A95431">
        <w:rPr>
          <w:rFonts w:ascii="Times New Roman" w:hAnsi="Times New Roman"/>
          <w:b/>
          <w:color w:val="000000"/>
          <w:sz w:val="24"/>
          <w:szCs w:val="24"/>
          <w:lang w:val="uk-UA"/>
        </w:rPr>
        <w:t>02.06.2021</w:t>
      </w:r>
      <w:r w:rsidRP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№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462C30">
        <w:rPr>
          <w:rFonts w:ascii="Times New Roman" w:hAnsi="Times New Roman"/>
          <w:b/>
          <w:color w:val="000000"/>
          <w:sz w:val="24"/>
          <w:szCs w:val="24"/>
          <w:lang w:val="uk-UA"/>
        </w:rPr>
        <w:t>105</w:t>
      </w:r>
      <w:r w:rsidR="00A95431">
        <w:rPr>
          <w:rFonts w:ascii="Times New Roman" w:hAnsi="Times New Roman"/>
          <w:b/>
          <w:color w:val="000000"/>
          <w:sz w:val="24"/>
          <w:szCs w:val="24"/>
          <w:lang w:val="uk-UA"/>
        </w:rPr>
        <w:t>-</w:t>
      </w:r>
      <w:r w:rsid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>осн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>/к</w:t>
      </w: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УМОВИ</w:t>
      </w:r>
    </w:p>
    <w:p w:rsidR="00C07876" w:rsidRPr="00C07876" w:rsidRDefault="00C07876" w:rsidP="00A9543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проведення конкурсу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462C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зайняття вакантної</w:t>
      </w:r>
      <w:r w:rsidR="009D7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посади державної служби категорії «В»  –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b/>
          <w:sz w:val="24"/>
          <w:szCs w:val="24"/>
        </w:rPr>
        <w:t xml:space="preserve">секретаря судового засідання </w:t>
      </w:r>
      <w:r>
        <w:rPr>
          <w:rFonts w:ascii="Times New Roman" w:hAnsi="Times New Roman" w:cs="Times New Roman"/>
          <w:b/>
          <w:sz w:val="24"/>
          <w:szCs w:val="24"/>
        </w:rPr>
        <w:t>Вінницького районного суду</w:t>
      </w:r>
      <w:r w:rsidR="00462C30">
        <w:rPr>
          <w:rFonts w:ascii="Times New Roman" w:hAnsi="Times New Roman" w:cs="Times New Roman"/>
          <w:b/>
          <w:sz w:val="24"/>
          <w:szCs w:val="24"/>
        </w:rPr>
        <w:t xml:space="preserve">  Вінницької області (безстроково)</w:t>
      </w:r>
    </w:p>
    <w:tbl>
      <w:tblPr>
        <w:tblW w:w="1025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59"/>
        <w:gridCol w:w="2078"/>
        <w:gridCol w:w="182"/>
        <w:gridCol w:w="7234"/>
        <w:gridCol w:w="12"/>
        <w:gridCol w:w="61"/>
      </w:tblGrid>
      <w:tr w:rsidR="00C07876" w:rsidRPr="00C07876" w:rsidTr="00095074">
        <w:tc>
          <w:tcPr>
            <w:tcW w:w="102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095074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C07876" w:rsidRPr="00C07876" w:rsidTr="00095074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>- Здійснює судові виклики та повідомлення в справах, які знаходяться у провадженні судді, оформляє заявки до РКС ГУНП України у Вінницькій області адміністрації  та ВУВП № 1 про доставку до суду обвинувачених, засуджених, готує копій відповідних судових рішень та їх надсилання;</w:t>
            </w:r>
          </w:p>
          <w:p w:rsidR="00C07876" w:rsidRPr="00C07876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Здійснює оформлення та</w:t>
            </w: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розміщення списків справ, призначених до розгляду</w:t>
            </w:r>
          </w:p>
          <w:p w:rsidR="00C07876" w:rsidRPr="00C07876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Перевіряє наявність і з’ясовує причини відсутності, осіб яких викликано до суду і доповідає про це головуючому судді, зазначає на повістках час перебування у суді</w:t>
            </w:r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C07876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Забезпечує фіксування судового засідання технічними засобами згідно з Інструкцією про порядок фіксування судового процесу технічними засобами. </w:t>
            </w:r>
            <w:r w:rsidRPr="00C07876">
              <w:rPr>
                <w:rFonts w:ascii="Times New Roman" w:hAnsi="Times New Roman"/>
                <w:sz w:val="24"/>
                <w:szCs w:val="24"/>
              </w:rPr>
              <w:t>Працює з технічними засобами відеозапису під час проведення процесуальних дій у режимі відеоконференції та  забезпечує надійне функціонування відеозапису в режимі відеоконференції на високому, якісному та належному рівні;</w:t>
            </w:r>
          </w:p>
          <w:p w:rsidR="00C07876" w:rsidRPr="00C07876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Веде журнал (протокол) судового засідання.</w:t>
            </w: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Працює в автоматизованій системі документообігу суду КП «Д-3» , відображає у ОСК відомості про підготовчий розгляд справи, про призначення справи до розгляду, причини нерозгляду, типи нерозгляду, про виконання приводу обвинувачених, свідків чи потерпілих, а також вносить до ОСК іншу інформацію по справі, яка знаходиться на розгляді у судді;</w:t>
            </w:r>
          </w:p>
          <w:p w:rsidR="00C07876" w:rsidRPr="00C07876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Виготовляє копії судових рішень у справах, які знаходяться в провадженні судді та з</w:t>
            </w: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>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справи;</w:t>
            </w:r>
          </w:p>
          <w:p w:rsidR="00C07876" w:rsidRPr="00C07876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Здійснює заходи щодо вручення копії вироку засудженому або виправданому відповідно до вимог Кримінально – процесуального кодексу України;</w:t>
            </w:r>
          </w:p>
          <w:p w:rsidR="00C07876" w:rsidRPr="00C07876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Здійснює заходи щодо формування та направлення </w:t>
            </w:r>
            <w:r w:rsidRPr="00C07876"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>-повідомлень сторонам по справах;</w:t>
            </w:r>
          </w:p>
          <w:p w:rsidR="00C07876" w:rsidRPr="00C07876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Оформлює </w:t>
            </w:r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судові справи і матеріали здійснює передачу справ до канцелярії суду;</w:t>
            </w:r>
          </w:p>
          <w:p w:rsidR="00C07876" w:rsidRPr="00C07876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>Виконує інші доручення керівника апарату суду, заступника керівника апарату суду, головуючого судді, що стосуються організації розгляду судових справ.</w:t>
            </w:r>
          </w:p>
        </w:tc>
      </w:tr>
      <w:tr w:rsidR="00C07876" w:rsidRPr="00C07876" w:rsidTr="00095074">
        <w:trPr>
          <w:trHeight w:val="1537"/>
        </w:trPr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31" w:rsidRDefault="00C07876" w:rsidP="00C0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згідно штатного розпису – </w:t>
            </w:r>
            <w:r w:rsidRPr="00C07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4440</w:t>
            </w:r>
            <w:r w:rsidRPr="00C07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грн. </w:t>
            </w:r>
          </w:p>
          <w:p w:rsidR="00217A14" w:rsidRDefault="00217A14" w:rsidP="0021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доплати, премії та компенсації відповідно до статті 52 Закону України «Про державну службу»;</w:t>
            </w:r>
          </w:p>
          <w:p w:rsidR="00C07876" w:rsidRPr="00C07876" w:rsidRDefault="00217A14" w:rsidP="00B45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</w:t>
            </w:r>
            <w:r w:rsidR="00B4500E">
              <w:rPr>
                <w:rFonts w:ascii="Times New Roman" w:hAnsi="Times New Roman" w:cs="Times New Roman"/>
                <w:sz w:val="24"/>
                <w:szCs w:val="24"/>
              </w:rPr>
              <w:t>працівників державних органів</w:t>
            </w:r>
            <w:r w:rsidR="00C07876" w:rsidRPr="00C07876">
              <w:rPr>
                <w:rFonts w:ascii="Times New Roman" w:hAnsi="Times New Roman" w:cs="Times New Roman"/>
                <w:sz w:val="24"/>
                <w:szCs w:val="24"/>
              </w:rPr>
              <w:t>» (зі змінами).</w:t>
            </w:r>
          </w:p>
        </w:tc>
      </w:tr>
      <w:tr w:rsidR="00C07876" w:rsidRPr="00C07876" w:rsidTr="00095074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Default="00462C30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Безстроково.</w:t>
            </w:r>
          </w:p>
          <w:p w:rsidR="00B4500E" w:rsidRPr="00C07876" w:rsidRDefault="00B4500E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C07876" w:rsidRPr="00C07876" w:rsidTr="00095074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3"/>
              </w:numPr>
              <w:spacing w:line="256" w:lineRule="auto"/>
              <w:jc w:val="both"/>
            </w:pPr>
            <w:r w:rsidRPr="00C07876">
              <w:rPr>
                <w:u w:val="single"/>
              </w:rPr>
              <w:t>Заява про участь</w:t>
            </w:r>
            <w:r w:rsidRPr="00C07876">
              <w:t xml:space="preserve">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КМУ від 25.03.2016 № 246 (зі змінами).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3"/>
              </w:numPr>
              <w:spacing w:line="256" w:lineRule="auto"/>
              <w:jc w:val="both"/>
            </w:pPr>
            <w:r w:rsidRPr="00C07876">
              <w:rPr>
                <w:u w:val="single"/>
              </w:rPr>
              <w:t>Резюме</w:t>
            </w:r>
            <w:r w:rsidRPr="00C07876">
              <w:t xml:space="preserve"> за формою згідно з додатком 2</w:t>
            </w:r>
            <w:r w:rsidRPr="00C07876">
              <w:rPr>
                <w:vertAlign w:val="superscript"/>
              </w:rPr>
              <w:t>1</w:t>
            </w:r>
            <w:r w:rsidRPr="00C07876">
              <w:t xml:space="preserve"> до Порядку проведення конкурсу на зайняття посад державної служби, затвердженого постановою КМУ від 25.03.2016 № 246 (зі змінами), в якому обов’язково зазначається така інформація: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>прізвище, ім’я, по батькові кандидата;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>реквізити документа, що посвідчує особу та підтверджує громадянство України;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>підтвердження наявності відповідного ступеня вищої освіти;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>підтвердження рівня вільного володіння державною мовою;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 xml:space="preserve">відомості про стаж роботи, стаж державної служби (за наявності), 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>досвід роботи на відповідних посадах.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3"/>
              </w:numPr>
              <w:spacing w:line="256" w:lineRule="auto"/>
              <w:ind w:left="34" w:firstLine="425"/>
              <w:jc w:val="both"/>
            </w:pPr>
            <w:r w:rsidRPr="00C07876">
              <w:rPr>
                <w:u w:val="single"/>
              </w:rPr>
              <w:t>Заява,</w:t>
            </w:r>
            <w:r w:rsidRPr="00C07876">
              <w:t xml:space="preserve">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4500E" w:rsidRDefault="00B4500E" w:rsidP="00B4500E">
            <w:pPr>
              <w:spacing w:line="256" w:lineRule="auto"/>
              <w:ind w:left="34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додатків до заяви не є </w:t>
            </w:r>
            <w:r w:rsidR="008A2974">
              <w:rPr>
                <w:rFonts w:ascii="Times New Roman" w:hAnsi="Times New Roman" w:cs="Times New Roman"/>
                <w:sz w:val="24"/>
                <w:szCs w:val="24"/>
              </w:rPr>
              <w:t>обов’язковим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876" w:rsidRPr="00C07876" w:rsidRDefault="00B4500E" w:rsidP="00FE6DF5">
            <w:pPr>
              <w:spacing w:line="256" w:lineRule="auto"/>
              <w:ind w:left="34" w:firstLine="42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подається через Єдиний портал вакансій державної служби</w:t>
            </w:r>
            <w:r w:rsidR="00C07876"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2974">
              <w:rPr>
                <w:rFonts w:ascii="Times New Roman" w:hAnsi="Times New Roman" w:cs="Times New Roman"/>
                <w:sz w:val="24"/>
                <w:szCs w:val="24"/>
              </w:rPr>
              <w:t xml:space="preserve">(за посиланням </w:t>
            </w:r>
            <w:hyperlink r:id="rId5" w:history="1">
              <w:r w:rsidR="008A2974" w:rsidRPr="002E327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https://career.gov.ua</w:t>
              </w:r>
            </w:hyperlink>
            <w:r w:rsidR="008A297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07876" w:rsidRPr="00C0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C0787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07876" w:rsidRPr="00C0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 00 хв. </w:t>
            </w:r>
            <w:r w:rsidR="00FE6DF5">
              <w:rPr>
                <w:rFonts w:ascii="Times New Roman" w:hAnsi="Times New Roman" w:cs="Times New Roman"/>
                <w:b/>
                <w:sz w:val="24"/>
                <w:szCs w:val="24"/>
              </w:rPr>
              <w:t>09 червня</w:t>
            </w:r>
            <w:r w:rsidR="00C07876" w:rsidRPr="00C0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року включно</w:t>
            </w:r>
            <w:r w:rsidR="00FE6D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07876" w:rsidRPr="00C07876" w:rsidTr="00095074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Додаткові (необов’язкові) документи </w:t>
            </w:r>
          </w:p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КМУ від 25.03.2016 № 246 (зі змінами)</w:t>
            </w:r>
            <w:r w:rsidR="00FE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1533" w:rsidRPr="00C07876" w:rsidTr="00BD1533">
        <w:trPr>
          <w:trHeight w:val="4509"/>
        </w:trPr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lastRenderedPageBreak/>
              <w:t>Дата і час початку проведення тестування кандидатів.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</w:t>
            </w:r>
            <w:r>
              <w:rPr>
                <w:b/>
                <w:color w:val="000000"/>
                <w:shd w:val="clear" w:color="auto" w:fill="FFFFFF"/>
              </w:rPr>
              <w:t xml:space="preserve">посіб проведення співбесіди (із </w:t>
            </w:r>
            <w:r w:rsidRPr="00C07876">
              <w:rPr>
                <w:b/>
                <w:color w:val="000000"/>
                <w:shd w:val="clear" w:color="auto" w:fill="FFFFFF"/>
              </w:rPr>
              <w:t>зазначенням електронної платформи для комунікації дистанційно)</w:t>
            </w:r>
            <w:r>
              <w:rPr>
                <w:b/>
                <w:color w:val="000000"/>
                <w:shd w:val="clear" w:color="auto" w:fill="FFFFFF"/>
              </w:rPr>
              <w:t>.</w:t>
            </w:r>
          </w:p>
          <w:p w:rsidR="00BD1533" w:rsidRP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 червня 2021 року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10 годинні 00 хвилин,</w:t>
            </w: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P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фізичної присутності кандидата).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7876" w:rsidRPr="00C07876" w:rsidTr="00095074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5E" w:rsidRDefault="00E3155E" w:rsidP="00E3155E">
            <w:pPr>
              <w:tabs>
                <w:tab w:val="left" w:pos="4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Бутіна Галина Вікторівна</w:t>
            </w:r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тел. </w:t>
            </w:r>
            <w:r w:rsidRPr="003D7CF4">
              <w:rPr>
                <w:rFonts w:ascii="Times New Roman" w:hAnsi="Times New Roman"/>
                <w:sz w:val="24"/>
                <w:szCs w:val="24"/>
              </w:rPr>
              <w:t>(0432) 61-27-38</w:t>
            </w:r>
          </w:p>
          <w:p w:rsidR="00C07876" w:rsidRPr="00C07876" w:rsidRDefault="00E3155E" w:rsidP="00E31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1D8">
              <w:rPr>
                <w:rFonts w:ascii="Times New Roman" w:hAnsi="Times New Roman"/>
                <w:sz w:val="24"/>
                <w:szCs w:val="24"/>
              </w:rPr>
              <w:t>e-mail: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1C11D8">
                <w:rPr>
                  <w:rStyle w:val="a9"/>
                  <w:rFonts w:ascii="Times New Roman" w:hAnsi="Times New Roman"/>
                  <w:sz w:val="24"/>
                  <w:szCs w:val="24"/>
                </w:rPr>
                <w:t>inbox@vnr.vn.court.gov.ua</w:t>
              </w:r>
            </w:hyperlink>
          </w:p>
        </w:tc>
      </w:tr>
      <w:tr w:rsidR="00C07876" w:rsidRPr="00C07876" w:rsidTr="00095074">
        <w:trPr>
          <w:gridAfter w:val="1"/>
          <w:wAfter w:w="62" w:type="dxa"/>
          <w:trHeight w:val="731"/>
        </w:trPr>
        <w:tc>
          <w:tcPr>
            <w:tcW w:w="10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C07876" w:rsidRPr="00C07876" w:rsidTr="00095074">
        <w:trPr>
          <w:gridAfter w:val="2"/>
          <w:wAfter w:w="74" w:type="dxa"/>
          <w:trHeight w:val="826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Освіта вища не нижче ступеня молодшого бакалавра або бакалавра за спеціальністю «Право» або «Правознавство»</w:t>
            </w:r>
            <w:r w:rsidR="00E91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«Правоохоронна діяльність»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вимог до досвіду роботи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C07876" w:rsidRPr="00C07876" w:rsidTr="00095074">
        <w:trPr>
          <w:gridAfter w:val="1"/>
          <w:wAfter w:w="62" w:type="dxa"/>
          <w:trHeight w:val="701"/>
        </w:trPr>
        <w:tc>
          <w:tcPr>
            <w:tcW w:w="10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E91F75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07876" w:rsidRPr="00C07876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</w:tc>
      </w:tr>
      <w:tr w:rsidR="00E91F75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Комунікація та взаємодія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8" w:lineRule="exact"/>
              <w:jc w:val="both"/>
              <w:rPr>
                <w:sz w:val="24"/>
                <w:szCs w:val="24"/>
              </w:rPr>
            </w:pPr>
            <w:r w:rsidRPr="00E272C8">
              <w:rPr>
                <w:rStyle w:val="212pt"/>
                <w:rFonts w:eastAsiaTheme="minorHAnsi"/>
              </w:rPr>
              <w:t>вміння визначати заінтересовані і впливові сторони та будувати партнерські відносини;</w:t>
            </w:r>
          </w:p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272C8">
              <w:rPr>
                <w:rStyle w:val="212pt"/>
              </w:rPr>
              <w:t>здатність ефективно взаємодіяти: дослухатися, сприймати та викладати думку</w:t>
            </w:r>
            <w:r>
              <w:rPr>
                <w:rStyle w:val="212pt"/>
              </w:rPr>
              <w:t>.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 грамотність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bookmarkStart w:id="1" w:name="_heading=h.2et92p0" w:colFirst="0" w:colLast="0"/>
            <w:bookmarkEnd w:id="1"/>
            <w:r w:rsidRPr="00C07876">
              <w:rPr>
                <w:color w:val="000000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  <w:tab w:val="left" w:pos="1037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вміти користуватись кваліфікованим електронним підписом (КЕП);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Стресостійкість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уміння розуміти та управляти своїми емоціями;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самоконтролю;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конструктивного ставлення до зворотного зв’язку, зокрема критики;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оптимізм</w:t>
            </w:r>
          </w:p>
        </w:tc>
      </w:tr>
      <w:tr w:rsidR="00E91F75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Самоорганізація та самостійність в роботі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</w:t>
            </w:r>
            <w:r w:rsidRPr="00E272C8">
              <w:rPr>
                <w:rStyle w:val="212pt"/>
                <w:rFonts w:eastAsiaTheme="minorHAnsi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їхнього виконання;</w:t>
            </w:r>
          </w:p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  </w:t>
            </w:r>
            <w:r w:rsidRPr="00E272C8">
              <w:rPr>
                <w:rStyle w:val="212pt"/>
                <w:rFonts w:eastAsiaTheme="minorHAnsi"/>
              </w:rPr>
              <w:t>здатність до самомотивації (самоуправління);</w:t>
            </w:r>
          </w:p>
          <w:p w:rsidR="00E91F75" w:rsidRPr="00E91F75" w:rsidRDefault="00E91F75" w:rsidP="00E91F75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 w:rsidRPr="00E91F75">
              <w:rPr>
                <w:rStyle w:val="212pt"/>
                <w:rFonts w:eastAsia="Calibri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C07876" w:rsidRPr="00C07876" w:rsidTr="008213E1">
        <w:trPr>
          <w:gridAfter w:val="1"/>
          <w:wAfter w:w="62" w:type="dxa"/>
          <w:trHeight w:val="369"/>
        </w:trPr>
        <w:tc>
          <w:tcPr>
            <w:tcW w:w="101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Pr="008213E1" w:rsidRDefault="008213E1" w:rsidP="00821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3E1">
              <w:rPr>
                <w:rFonts w:ascii="Times New Roman" w:hAnsi="Times New Roman" w:cs="Times New Roman"/>
              </w:rPr>
              <w:t>Знання: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8213E1">
              <w:t>Конституція України;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8213E1">
              <w:t>Закон України «Про державну службу»;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  <w:rPr>
                <w:color w:val="000000"/>
              </w:rPr>
            </w:pPr>
            <w:r w:rsidRPr="008213E1">
              <w:t>Закон України «Про запобігання корупції»</w:t>
            </w:r>
          </w:p>
        </w:tc>
      </w:tr>
      <w:tr w:rsidR="00C07876" w:rsidRPr="00C07876" w:rsidTr="00095074">
        <w:trPr>
          <w:gridAfter w:val="2"/>
          <w:wAfter w:w="74" w:type="dxa"/>
          <w:trHeight w:val="340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8213E1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Default="008213E1" w:rsidP="008213E1">
            <w:pPr>
              <w:tabs>
                <w:tab w:val="left" w:pos="312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8213E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Закон України «Про судоустрій і статус суддів»;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Цивільний процесуальний кодекс України;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 xml:space="preserve">Кримінальний процесуальний кодекс України; </w:t>
            </w:r>
          </w:p>
          <w:p w:rsid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Кодекс адміністративного судочинства України;</w:t>
            </w:r>
          </w:p>
          <w:p w:rsid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Положення про автоматизовану систему документообігу суду, затвердженого рішенням Ради суддів України від 26.11.2010 (зі змінами);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rStyle w:val="rvts9"/>
              </w:rPr>
            </w:pPr>
            <w:r w:rsidRPr="008213E1">
              <w:rPr>
                <w:rStyle w:val="rvts23"/>
                <w:bCs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 w:rsidRPr="008213E1">
              <w:rPr>
                <w:rStyle w:val="rvts9"/>
                <w:bCs/>
                <w:shd w:val="clear" w:color="auto" w:fill="FFFFFF"/>
              </w:rPr>
              <w:t>наказом Державної судової</w:t>
            </w:r>
            <w:r w:rsidRPr="008213E1">
              <w:rPr>
                <w:bCs/>
              </w:rPr>
              <w:br/>
            </w:r>
            <w:r w:rsidRPr="008213E1">
              <w:rPr>
                <w:rStyle w:val="rvts9"/>
                <w:bCs/>
                <w:shd w:val="clear" w:color="auto" w:fill="FFFFFF"/>
              </w:rPr>
              <w:t>адміністрації України від 20.08.2019  № 814 (зі змінами);</w:t>
            </w:r>
          </w:p>
          <w:p w:rsidR="00C07876" w:rsidRPr="00C07876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color w:val="000000"/>
              </w:rPr>
            </w:pPr>
            <w:r w:rsidRPr="008213E1">
              <w:t>Інструкції про порядок роботи з технічними засобами фіксування судового процесу (судового засідання), затвердженої наказом Державної судової адміністрації України від 20.09.2012 № 108</w:t>
            </w:r>
          </w:p>
        </w:tc>
      </w:tr>
    </w:tbl>
    <w:p w:rsidR="00C07876" w:rsidRPr="00C07876" w:rsidRDefault="00C07876" w:rsidP="00C07876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876" w:rsidRPr="00C07876" w:rsidRDefault="00C07876">
      <w:pPr>
        <w:rPr>
          <w:rFonts w:ascii="Times New Roman" w:hAnsi="Times New Roman" w:cs="Times New Roman"/>
          <w:b/>
          <w:sz w:val="24"/>
          <w:szCs w:val="24"/>
        </w:rPr>
      </w:pPr>
    </w:p>
    <w:sectPr w:rsidR="00C07876" w:rsidRPr="00C07876" w:rsidSect="008213E1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169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0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833B68"/>
    <w:multiLevelType w:val="hybridMultilevel"/>
    <w:tmpl w:val="436009F4"/>
    <w:lvl w:ilvl="0" w:tplc="A04C04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A582E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01BC2"/>
    <w:multiLevelType w:val="hybridMultilevel"/>
    <w:tmpl w:val="2F9617A0"/>
    <w:lvl w:ilvl="0" w:tplc="7D94F55A">
      <w:start w:val="11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6" w15:restartNumberingAfterBreak="0">
    <w:nsid w:val="4B413552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731EA"/>
    <w:multiLevelType w:val="hybridMultilevel"/>
    <w:tmpl w:val="CF823364"/>
    <w:lvl w:ilvl="0" w:tplc="AA6A573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7" w:hanging="360"/>
      </w:pPr>
    </w:lvl>
    <w:lvl w:ilvl="2" w:tplc="0422001B" w:tentative="1">
      <w:start w:val="1"/>
      <w:numFmt w:val="lowerRoman"/>
      <w:lvlText w:val="%3."/>
      <w:lvlJc w:val="right"/>
      <w:pPr>
        <w:ind w:left="1847" w:hanging="180"/>
      </w:pPr>
    </w:lvl>
    <w:lvl w:ilvl="3" w:tplc="0422000F" w:tentative="1">
      <w:start w:val="1"/>
      <w:numFmt w:val="decimal"/>
      <w:lvlText w:val="%4."/>
      <w:lvlJc w:val="left"/>
      <w:pPr>
        <w:ind w:left="2567" w:hanging="360"/>
      </w:pPr>
    </w:lvl>
    <w:lvl w:ilvl="4" w:tplc="04220019" w:tentative="1">
      <w:start w:val="1"/>
      <w:numFmt w:val="lowerLetter"/>
      <w:lvlText w:val="%5."/>
      <w:lvlJc w:val="left"/>
      <w:pPr>
        <w:ind w:left="3287" w:hanging="360"/>
      </w:pPr>
    </w:lvl>
    <w:lvl w:ilvl="5" w:tplc="0422001B" w:tentative="1">
      <w:start w:val="1"/>
      <w:numFmt w:val="lowerRoman"/>
      <w:lvlText w:val="%6."/>
      <w:lvlJc w:val="right"/>
      <w:pPr>
        <w:ind w:left="4007" w:hanging="180"/>
      </w:pPr>
    </w:lvl>
    <w:lvl w:ilvl="6" w:tplc="0422000F" w:tentative="1">
      <w:start w:val="1"/>
      <w:numFmt w:val="decimal"/>
      <w:lvlText w:val="%7."/>
      <w:lvlJc w:val="left"/>
      <w:pPr>
        <w:ind w:left="4727" w:hanging="360"/>
      </w:pPr>
    </w:lvl>
    <w:lvl w:ilvl="7" w:tplc="04220019" w:tentative="1">
      <w:start w:val="1"/>
      <w:numFmt w:val="lowerLetter"/>
      <w:lvlText w:val="%8."/>
      <w:lvlJc w:val="left"/>
      <w:pPr>
        <w:ind w:left="5447" w:hanging="360"/>
      </w:pPr>
    </w:lvl>
    <w:lvl w:ilvl="8" w:tplc="0422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46"/>
    <w:rsid w:val="00144C65"/>
    <w:rsid w:val="00150C5B"/>
    <w:rsid w:val="00177590"/>
    <w:rsid w:val="001B4956"/>
    <w:rsid w:val="001E59BA"/>
    <w:rsid w:val="00217A14"/>
    <w:rsid w:val="002C5017"/>
    <w:rsid w:val="003473AD"/>
    <w:rsid w:val="00361C7E"/>
    <w:rsid w:val="00462C30"/>
    <w:rsid w:val="00477646"/>
    <w:rsid w:val="006622BD"/>
    <w:rsid w:val="006B6CDA"/>
    <w:rsid w:val="00723744"/>
    <w:rsid w:val="007E4F4F"/>
    <w:rsid w:val="008213E1"/>
    <w:rsid w:val="008320D9"/>
    <w:rsid w:val="008A2974"/>
    <w:rsid w:val="00942045"/>
    <w:rsid w:val="009D736D"/>
    <w:rsid w:val="009F4EEF"/>
    <w:rsid w:val="00A160D1"/>
    <w:rsid w:val="00A43727"/>
    <w:rsid w:val="00A95431"/>
    <w:rsid w:val="00AF2275"/>
    <w:rsid w:val="00B4500E"/>
    <w:rsid w:val="00B92A52"/>
    <w:rsid w:val="00BD1533"/>
    <w:rsid w:val="00BD2115"/>
    <w:rsid w:val="00BF1930"/>
    <w:rsid w:val="00C07876"/>
    <w:rsid w:val="00D50E70"/>
    <w:rsid w:val="00DA7303"/>
    <w:rsid w:val="00DC21C6"/>
    <w:rsid w:val="00E3155E"/>
    <w:rsid w:val="00E91F75"/>
    <w:rsid w:val="00F525D6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C4E6"/>
  <w15:docId w15:val="{DCA1AF48-3F66-4741-89BE-F25A23DB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776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B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7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0787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14">
    <w:name w:val="rvps14"/>
    <w:basedOn w:val="a"/>
    <w:uiPriority w:val="99"/>
    <w:rsid w:val="00C0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unhideWhenUsed/>
    <w:rsid w:val="00E3155E"/>
    <w:rPr>
      <w:color w:val="0000FF"/>
      <w:u w:val="single"/>
    </w:rPr>
  </w:style>
  <w:style w:type="paragraph" w:styleId="aa">
    <w:name w:val="Body Text Indent"/>
    <w:basedOn w:val="a"/>
    <w:link w:val="ab"/>
    <w:rsid w:val="00E91F7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91F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2pt">
    <w:name w:val="Основной текст (2) + 12 pt"/>
    <w:rsid w:val="00E91F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">
    <w:name w:val="Основной текст (2)_"/>
    <w:link w:val="20"/>
    <w:locked/>
    <w:rsid w:val="00E91F7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1F75"/>
    <w:pPr>
      <w:widowControl w:val="0"/>
      <w:shd w:val="clear" w:color="auto" w:fill="FFFFFF"/>
      <w:spacing w:after="540" w:line="320" w:lineRule="exact"/>
      <w:jc w:val="center"/>
    </w:pPr>
    <w:rPr>
      <w:sz w:val="26"/>
      <w:szCs w:val="26"/>
    </w:rPr>
  </w:style>
  <w:style w:type="character" w:customStyle="1" w:styleId="rvts23">
    <w:name w:val="rvts23"/>
    <w:rsid w:val="008213E1"/>
  </w:style>
  <w:style w:type="character" w:customStyle="1" w:styleId="rvts9">
    <w:name w:val="rvts9"/>
    <w:rsid w:val="00821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vnr.vn.court.gov.ua" TargetMode="Externa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5647</Words>
  <Characters>3220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Constantine Plakhotniuk</cp:lastModifiedBy>
  <cp:revision>12</cp:revision>
  <cp:lastPrinted>2021-06-02T08:39:00Z</cp:lastPrinted>
  <dcterms:created xsi:type="dcterms:W3CDTF">2021-03-26T10:56:00Z</dcterms:created>
  <dcterms:modified xsi:type="dcterms:W3CDTF">2021-06-02T12:32:00Z</dcterms:modified>
</cp:coreProperties>
</file>